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CE1" w:rsidRDefault="004B3CE1" w:rsidP="003345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  <w:r w:rsidRPr="000C488F">
        <w:rPr>
          <w:rFonts w:ascii="Times New Roman" w:hAnsi="Times New Roman"/>
          <w:sz w:val="24"/>
          <w:szCs w:val="24"/>
        </w:rPr>
        <w:t xml:space="preserve"> </w:t>
      </w:r>
    </w:p>
    <w:p w:rsidR="004B3CE1" w:rsidRPr="005C177D" w:rsidRDefault="004B3CE1" w:rsidP="00652B8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C177D">
        <w:rPr>
          <w:rFonts w:ascii="Times New Roman" w:hAnsi="Times New Roman"/>
          <w:sz w:val="26"/>
          <w:szCs w:val="26"/>
        </w:rPr>
        <w:t>к документации об аукционе</w:t>
      </w:r>
    </w:p>
    <w:p w:rsidR="004B3CE1" w:rsidRPr="005C177D" w:rsidRDefault="004B3CE1" w:rsidP="00652B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B3CE1" w:rsidRPr="005C177D" w:rsidRDefault="004B3CE1" w:rsidP="005017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ФОРМА ПРИМЕРНОГО ДОГОВОРА</w:t>
      </w:r>
    </w:p>
    <w:p w:rsidR="004B3CE1" w:rsidRPr="005C177D" w:rsidRDefault="004B3CE1" w:rsidP="005017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5C177D">
        <w:rPr>
          <w:rFonts w:ascii="Arial" w:hAnsi="Arial" w:cs="Arial"/>
          <w:kern w:val="0"/>
          <w:sz w:val="18"/>
          <w:szCs w:val="18"/>
        </w:rPr>
        <w:t>катадромных</w:t>
      </w:r>
      <w:proofErr w:type="spellEnd"/>
      <w:r w:rsidRPr="005C177D">
        <w:rPr>
          <w:rFonts w:ascii="Arial" w:hAnsi="Arial" w:cs="Arial"/>
          <w:kern w:val="0"/>
          <w:sz w:val="18"/>
          <w:szCs w:val="18"/>
        </w:rPr>
        <w:t xml:space="preserve"> и трансграничных видов рыб) на водных объектах Таймырского Долгано-Ненецкого муниципального округа Красноярского края</w:t>
      </w:r>
    </w:p>
    <w:p w:rsidR="004B3CE1" w:rsidRPr="005C177D" w:rsidRDefault="004B3CE1" w:rsidP="005017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3345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г. Дудинка                                                                                                   "__" _________________ 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>г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>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ED5F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__Администрация Таймырского Долгано-Ненецкого муниципального </w:t>
      </w:r>
      <w:r w:rsidR="00483881" w:rsidRPr="005C177D">
        <w:rPr>
          <w:rFonts w:ascii="Arial" w:hAnsi="Arial" w:cs="Arial"/>
          <w:kern w:val="0"/>
          <w:sz w:val="18"/>
          <w:szCs w:val="18"/>
        </w:rPr>
        <w:t>района (далее – Администрация)</w:t>
      </w: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</w:t>
      </w:r>
      <w:bookmarkStart w:id="0" w:name="_GoBack"/>
      <w:bookmarkEnd w:id="0"/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                        (наименование органа </w:t>
      </w:r>
      <w:r w:rsidR="00483881" w:rsidRPr="005C177D">
        <w:rPr>
          <w:rFonts w:ascii="Arial" w:hAnsi="Arial" w:cs="Arial"/>
          <w:kern w:val="0"/>
          <w:sz w:val="18"/>
          <w:szCs w:val="18"/>
        </w:rPr>
        <w:t>местного самоуправления</w:t>
      </w:r>
      <w:r w:rsidRPr="005C177D">
        <w:rPr>
          <w:rFonts w:ascii="Arial" w:hAnsi="Arial" w:cs="Arial"/>
          <w:kern w:val="0"/>
          <w:sz w:val="18"/>
          <w:szCs w:val="18"/>
        </w:rPr>
        <w:t>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 лице  _____________________________________________________________________________,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                  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>(должность, фамилия, имя, отчество (при наличии)</w:t>
      </w:r>
      <w:proofErr w:type="gramEnd"/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действующего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на основании ___________________________________________________________,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                                   (положение об органе </w:t>
      </w:r>
      <w:r w:rsidR="00483881" w:rsidRPr="005C177D">
        <w:rPr>
          <w:rFonts w:ascii="Arial" w:hAnsi="Arial" w:cs="Arial"/>
          <w:kern w:val="0"/>
          <w:sz w:val="18"/>
          <w:szCs w:val="18"/>
        </w:rPr>
        <w:t>местного самоуправления</w:t>
      </w:r>
      <w:r w:rsidRPr="005C177D">
        <w:rPr>
          <w:rFonts w:ascii="Arial" w:hAnsi="Arial" w:cs="Arial"/>
          <w:kern w:val="0"/>
          <w:sz w:val="18"/>
          <w:szCs w:val="18"/>
        </w:rPr>
        <w:t xml:space="preserve"> или доверенность)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именуемый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в дальнейшем органом </w:t>
      </w:r>
      <w:r w:rsidR="00483881" w:rsidRPr="005C177D">
        <w:rPr>
          <w:rFonts w:ascii="Arial" w:hAnsi="Arial" w:cs="Arial"/>
          <w:kern w:val="0"/>
          <w:sz w:val="18"/>
          <w:szCs w:val="18"/>
        </w:rPr>
        <w:t>местного самоуправления</w:t>
      </w:r>
      <w:r w:rsidRPr="005C177D">
        <w:rPr>
          <w:rFonts w:ascii="Arial" w:hAnsi="Arial" w:cs="Arial"/>
          <w:kern w:val="0"/>
          <w:sz w:val="18"/>
          <w:szCs w:val="18"/>
        </w:rPr>
        <w:t>, с одной стороны, и 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____________________________________________________________________________________</w:t>
      </w:r>
    </w:p>
    <w:p w:rsidR="004B3CE1" w:rsidRPr="005C177D" w:rsidRDefault="004B3CE1" w:rsidP="000F50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(полное наименование юридического лица или фамилия, имя, отчество (при наличии) индивидуального предпринимателя)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 лице  _____________________________________________________________________________,</w:t>
      </w:r>
    </w:p>
    <w:p w:rsidR="004B3CE1" w:rsidRPr="005C177D" w:rsidRDefault="004B3CE1" w:rsidP="00A02D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(фамилия, имя, отчество (при наличии) гражданина или лица, действующего от имени юридического лица</w:t>
      </w:r>
      <w:proofErr w:type="gramEnd"/>
    </w:p>
    <w:p w:rsidR="004B3CE1" w:rsidRPr="005C177D" w:rsidRDefault="004B3CE1" w:rsidP="00A02D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либо от имени индивидуального предпринимателя по доверенности)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действующего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на основании ___________________________________________________________,</w:t>
      </w:r>
    </w:p>
    <w:p w:rsidR="004B3CE1" w:rsidRPr="005C177D" w:rsidRDefault="004B3CE1" w:rsidP="00A02D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(документ, удостоверяющий личность, представительство: паспорт, свидетельство о регистрации, ИНН, Устав …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 xml:space="preserve"> )</w:t>
      </w:r>
      <w:proofErr w:type="gramEnd"/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именуемый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в дальнейшем пользователем, с другой стороны, совместно именуемые в дальнейшем сторонами, на основании 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____________________________________________________________________________________</w:t>
      </w:r>
    </w:p>
    <w:p w:rsidR="004B3CE1" w:rsidRPr="005C177D" w:rsidRDefault="004B3CE1" w:rsidP="000308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 xml:space="preserve">(реквизиты протокола аукциона по продаже права на заключение договора пользования </w:t>
      </w:r>
      <w:proofErr w:type="gramEnd"/>
    </w:p>
    <w:p w:rsidR="004B3CE1" w:rsidRPr="005C177D" w:rsidRDefault="004B3CE1" w:rsidP="000308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рыболовным участком в электронной форме)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заключили настоящий договор о нижеследующем: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I. Предмет договора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B84E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1. В соответствии с настоящим договором 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Администрация </w:t>
      </w:r>
      <w:r w:rsidRPr="005C177D">
        <w:rPr>
          <w:rFonts w:ascii="Arial" w:hAnsi="Arial" w:cs="Arial"/>
          <w:kern w:val="0"/>
          <w:sz w:val="18"/>
          <w:szCs w:val="18"/>
        </w:rPr>
        <w:t xml:space="preserve">предоставляет пользователю право на добычу (вылов) водных биологических 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ресурсов на рыболовном </w:t>
      </w:r>
      <w:r w:rsidRPr="005C177D">
        <w:rPr>
          <w:rFonts w:ascii="Arial" w:hAnsi="Arial" w:cs="Arial"/>
          <w:kern w:val="0"/>
          <w:sz w:val="18"/>
          <w:szCs w:val="18"/>
        </w:rPr>
        <w:t>участке ____________________________________________________________________________________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(наименование рыболовного участка в соответствии с перечнем рыболовных участков)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 границах __________________________________________________________________________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площадью ____________________________________ (далее - рыболовный участок).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Виды водных биологических ресурсов, обитающих в границах рыболовного участка: ___________________________________________________________________________________.</w:t>
      </w:r>
    </w:p>
    <w:p w:rsidR="004B3CE1" w:rsidRPr="005C177D" w:rsidRDefault="004B3CE1" w:rsidP="00652B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2. 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Администрация </w:t>
      </w:r>
      <w:r w:rsidRPr="005C177D">
        <w:rPr>
          <w:rFonts w:ascii="Arial" w:hAnsi="Arial" w:cs="Arial"/>
          <w:kern w:val="0"/>
          <w:sz w:val="18"/>
          <w:szCs w:val="18"/>
        </w:rPr>
        <w:t>предоставляет пользователю рыболовный участок для осуществления промышленного рыболовства.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3. Использование рыболовного участка пользователем осуществляется в соответствии с законодательством о рыболовстве и сохранении водных биологических ресурсов и водным законодательством.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4. На рыболовном участке могут в установленном порядке устанавливаться ограничения для осуществления рыболовства в соответствии с законодательством о рыболовстве и сохранении водных биологических ресурсов.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II. Права и обязанности сторон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5. Права Администрации: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осуществлять проверку соблюдения пользователем условий настоящего договора;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посещать территорию рыболовного участка, осматривать рыбопромысловые суда, орудия лова, уловы водных биологических ресурсов, а также здания и сооружения, прилегающие к территории рыболовного участка и предназначенные для содержания рыбопромысловых судов, орудий лова, добытых (выловленных) водных биологических ресурсов, в целях проверки выполнения условий настоящего договора;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в) запрашивать информацию о соблюдении пользователем условия настоящего договора.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6. Обязанности Администрации: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разъяснять пользователю требования нормативных правовых актов, регулирующих деятельность пользователя в соответствии с настоящим договором;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lastRenderedPageBreak/>
        <w:t>б) сообщать пользователю информацию, касающуюся рыболовного участка.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7. Права пользователя: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осуществлять добычу (вылов) водных биологических ресурсов в границах рыболовного участка;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осуществлять по согласованию с Администрацией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 </w:t>
      </w:r>
      <w:r w:rsidRPr="005C177D">
        <w:rPr>
          <w:rFonts w:ascii="Arial" w:hAnsi="Arial" w:cs="Arial"/>
          <w:kern w:val="0"/>
          <w:sz w:val="18"/>
          <w:szCs w:val="18"/>
        </w:rPr>
        <w:t>в установленном порядке размещение хозяйственных и иных объектов, внедрение новых технологических процессов при использовании рыболовного участка;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в) получать от Администрации информацию, касающуюся рыболовного участка.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8. Обязанности пользователя (существенные условия договора):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bookmarkStart w:id="1" w:name="Par79"/>
      <w:bookmarkEnd w:id="1"/>
      <w:r w:rsidRPr="005C177D">
        <w:rPr>
          <w:rFonts w:ascii="Arial" w:hAnsi="Arial" w:cs="Arial"/>
          <w:kern w:val="0"/>
          <w:sz w:val="18"/>
          <w:szCs w:val="18"/>
        </w:rPr>
        <w:t>1) при осуществлении добычи (вылова) водных биологических ресурсов: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соблюдать законодательство о рыболовстве и сохранении водных биологических ресурсов, а также условия настоящего договора;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не допускать ухудшения среды обитания водных биологических ресурсов;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в) содержать рыболовный участок в состоянии, отвечающем санитарным и экологическим требованиям в соответствии с законодательством Российской Федерации;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г) осуществлять учет добываемых (вылавливаемых) водных биологических ресурсов на территории рыболовного участка;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д) представлять в установленном законодательством Российской Федерации порядке статистическую отчетность об улове водных биологических ресурсов при осуществлении рыболовства на рыболовном участке, сведения о производстве рыбной продукции и сведения о доставке добытых (выловленных) водных биологических ресурсов для переработки или реализации на территории Российской Федерации;</w:t>
      </w:r>
      <w:proofErr w:type="gramEnd"/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е) осуществлять обозначение границ рыболовного участка специальными знаками, указывающими на их принадлежность пользователю;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ж) осуществлять за счет собственных средств содержание рыболовного участка и производственный контроль в его границах;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з) осуществлять допуск на рыболовный участок должностных лиц территориальных органов Федера</w:t>
      </w:r>
      <w:r w:rsidR="006F0F23" w:rsidRPr="005C177D">
        <w:rPr>
          <w:rFonts w:ascii="Arial" w:hAnsi="Arial" w:cs="Arial"/>
          <w:kern w:val="0"/>
          <w:sz w:val="18"/>
          <w:szCs w:val="18"/>
        </w:rPr>
        <w:t>льного агентства по рыболовству, а также представителей Администрации;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и) в случае причинения вреда (ущерба) водным биологическим ресурсам и (или) среде их обитания в результате своей деятельности компенсировать причиненный вред (ущерб) в установленном законодательством Российской Федерации порядке, а также извещать в 10-дневный срок территориальные органы Федерального агентства по рыболовству о причинении такого вреда (ущерба);</w:t>
      </w:r>
      <w:proofErr w:type="gramEnd"/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к) использовать рыболовный участок по назначению и в установленных границах.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III. Срок действия договора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9. Настоящий договор вступает в силу со дня его подписания сторонами и действует до "__" __________ 20__ г.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IV. Расторжение и прекращение договора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10. Настоящий договор прекращается в связи с истечением срока его действия.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11. Настоящий договор прекращает свое действие в случаях, предусмотренных гражданским законодательством Российской Федерации.</w:t>
      </w:r>
    </w:p>
    <w:p w:rsidR="001E2327" w:rsidRPr="005C177D" w:rsidRDefault="001E2327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12. Настоящий договор прекращается в связи с ликвидацией юридического лица, которому было предоставлено право на пользование рыболовного участка, или со смертью гражданина (индивидуального предпринимателя), которому было предоставлено право на пользование рыболовным участком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3</w:t>
      </w:r>
      <w:r w:rsidRPr="005C177D">
        <w:rPr>
          <w:rFonts w:ascii="Arial" w:hAnsi="Arial" w:cs="Arial"/>
          <w:kern w:val="0"/>
          <w:sz w:val="18"/>
          <w:szCs w:val="18"/>
        </w:rPr>
        <w:t xml:space="preserve">. Настоящий 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договор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может быть расторгнут по соглашению сторон.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4</w:t>
      </w:r>
      <w:r w:rsidRPr="005C177D">
        <w:rPr>
          <w:rFonts w:ascii="Arial" w:hAnsi="Arial" w:cs="Arial"/>
          <w:kern w:val="0"/>
          <w:sz w:val="18"/>
          <w:szCs w:val="18"/>
        </w:rPr>
        <w:t>. Расторжение настоящего договора по решению суда по требованию одной из сторон осуществляется: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в случае существенного нарушения другой стороной условий настоящего договора;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в иных случаях, предусмотренных законодательством Российской Федерации.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5</w:t>
      </w:r>
      <w:r w:rsidRPr="005C177D">
        <w:rPr>
          <w:rFonts w:ascii="Arial" w:hAnsi="Arial" w:cs="Arial"/>
          <w:kern w:val="0"/>
          <w:sz w:val="18"/>
          <w:szCs w:val="18"/>
        </w:rPr>
        <w:t>. Расторжение настоящего договора по требованию органа государственной власти осуществляется в случае неосуществления пользователем в течение 2 лет подряд деятельности, предусмотренной настоящим договором.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V. Ответственность сторон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6</w:t>
      </w:r>
      <w:r w:rsidRPr="005C177D">
        <w:rPr>
          <w:rFonts w:ascii="Arial" w:hAnsi="Arial" w:cs="Arial"/>
          <w:kern w:val="0"/>
          <w:sz w:val="18"/>
          <w:szCs w:val="18"/>
        </w:rPr>
        <w:t>.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7</w:t>
      </w:r>
      <w:r w:rsidRPr="005C177D">
        <w:rPr>
          <w:rFonts w:ascii="Arial" w:hAnsi="Arial" w:cs="Arial"/>
          <w:kern w:val="0"/>
          <w:sz w:val="18"/>
          <w:szCs w:val="18"/>
        </w:rPr>
        <w:t>. Стороны не несут ответственности за расторжение или ненадлежащее исполнение своих обязательств по настоящему договору, если это явилось следствием обстоятельств непреодолимой силы, которые включают, в частности, такие случаи, как землетрясение, наводнение и аналогичные стихийные бедствия, а также чрезвычайные ситуации.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VI. Прочие условия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8</w:t>
      </w:r>
      <w:r w:rsidRPr="005C177D">
        <w:rPr>
          <w:rFonts w:ascii="Arial" w:hAnsi="Arial" w:cs="Arial"/>
          <w:kern w:val="0"/>
          <w:sz w:val="18"/>
          <w:szCs w:val="18"/>
        </w:rPr>
        <w:t>. Стороны принимают все необходимые меры к разрешению споров и разногласий, возникающих в связи с настоящим договором, путем переговоров между сторонами.</w:t>
      </w: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9</w:t>
      </w:r>
      <w:r w:rsidRPr="005C177D">
        <w:rPr>
          <w:rFonts w:ascii="Arial" w:hAnsi="Arial" w:cs="Arial"/>
          <w:kern w:val="0"/>
          <w:sz w:val="18"/>
          <w:szCs w:val="18"/>
        </w:rPr>
        <w:t>. Все споры и разногласия между сторонами, возникающие в связи с настоящим договором, если они не будут разрешены путем переговоров, разрешаются в судебном порядке в соответствии с законод</w:t>
      </w:r>
      <w:r w:rsidR="008C23F7" w:rsidRPr="005C177D">
        <w:rPr>
          <w:rFonts w:ascii="Arial" w:hAnsi="Arial" w:cs="Arial"/>
          <w:kern w:val="0"/>
          <w:sz w:val="18"/>
          <w:szCs w:val="18"/>
        </w:rPr>
        <w:t>ательством Российской Федерации в Арбитражном суде Красноярского края.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lastRenderedPageBreak/>
        <w:t>VII. Заключительные положения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8C23F7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20</w:t>
      </w:r>
      <w:r w:rsidR="004B3CE1" w:rsidRPr="005C177D">
        <w:rPr>
          <w:rFonts w:ascii="Arial" w:hAnsi="Arial" w:cs="Arial"/>
          <w:kern w:val="0"/>
          <w:sz w:val="18"/>
          <w:szCs w:val="18"/>
        </w:rPr>
        <w:t>. Все изменения, внесенные в настоящий договор, действительны лишь в том случае, если они имеют ссылку на настоящий договор, совершены в письменной форме, подписаны уполномоченными на то представителями обеих сторон и скреплены печатями (при наличии) сторон.</w:t>
      </w:r>
    </w:p>
    <w:p w:rsidR="004B3CE1" w:rsidRPr="005C177D" w:rsidRDefault="004B3CE1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Не допускается изменение существенных условий настоящего договора.</w:t>
      </w:r>
    </w:p>
    <w:p w:rsidR="004B3CE1" w:rsidRPr="005C177D" w:rsidRDefault="008C23F7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21</w:t>
      </w:r>
      <w:r w:rsidR="004B3CE1" w:rsidRPr="005C177D">
        <w:rPr>
          <w:rFonts w:ascii="Arial" w:hAnsi="Arial" w:cs="Arial"/>
          <w:kern w:val="0"/>
          <w:sz w:val="18"/>
          <w:szCs w:val="18"/>
        </w:rPr>
        <w:t>. Настоящий договор составлен в 2 экземплярах, имеющих одинаковую юридическую силу, по одному экземпляру для каждой из сторон.</w:t>
      </w:r>
    </w:p>
    <w:p w:rsidR="004B3CE1" w:rsidRPr="005C177D" w:rsidRDefault="004B3CE1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2</w:t>
      </w:r>
      <w:r w:rsidR="008C23F7" w:rsidRPr="005C177D">
        <w:rPr>
          <w:rFonts w:ascii="Arial" w:hAnsi="Arial" w:cs="Arial"/>
          <w:kern w:val="0"/>
          <w:sz w:val="18"/>
          <w:szCs w:val="18"/>
        </w:rPr>
        <w:t>2</w:t>
      </w:r>
      <w:r w:rsidRPr="005C177D">
        <w:rPr>
          <w:rFonts w:ascii="Arial" w:hAnsi="Arial" w:cs="Arial"/>
          <w:kern w:val="0"/>
          <w:sz w:val="18"/>
          <w:szCs w:val="18"/>
        </w:rPr>
        <w:t>. В случае изменения реквизитов стороны (почтового адреса, банковских реквизитов и т.д.) эта сторона обязана уведомить в письменной форме другую сторону о таких изменениях в течение 3 рабочих дней. До момента получения такого уведомления все извещения, направленные по предшествующим реквизитам, считаются действительными.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VIII. Адреса и реквизиты сторон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510"/>
        <w:gridCol w:w="340"/>
        <w:gridCol w:w="2806"/>
        <w:gridCol w:w="377"/>
        <w:gridCol w:w="705"/>
        <w:gridCol w:w="495"/>
        <w:gridCol w:w="340"/>
        <w:gridCol w:w="2778"/>
      </w:tblGrid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6F0F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Администрация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Пользователь</w:t>
            </w: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(наименование)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(наименование)</w:t>
            </w: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Почтовый адрес</w:t>
            </w:r>
          </w:p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(адрес в пределах места нахождения)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Почтовый адрес</w:t>
            </w:r>
          </w:p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gram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(адрес в пределах места нахождения или место жительства (для индивидуального предпринимателя)</w:t>
            </w:r>
            <w:proofErr w:type="gramEnd"/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67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ИНН</w:t>
            </w:r>
          </w:p>
        </w:tc>
        <w:tc>
          <w:tcPr>
            <w:tcW w:w="3656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ИНН</w:t>
            </w:r>
          </w:p>
        </w:tc>
        <w:tc>
          <w:tcPr>
            <w:tcW w:w="3613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Банковские реквизиты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Банковские реквизиты</w:t>
            </w: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Лицо, уполномоченное на подписание настоящего договора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Лицо, уполномоченное на подписание настоящего договора</w:t>
            </w:r>
          </w:p>
        </w:tc>
      </w:tr>
      <w:tr w:rsidR="004B3CE1" w:rsidRPr="005C177D">
        <w:tc>
          <w:tcPr>
            <w:tcW w:w="1185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1185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gram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</w:t>
            </w:r>
            <w:proofErr w:type="spell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ф.и.о.</w:t>
            </w:r>
            <w:proofErr w:type="spellEnd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 xml:space="preserve"> (при наличии)</w:t>
            </w:r>
            <w:proofErr w:type="gramEnd"/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gram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</w:t>
            </w:r>
            <w:proofErr w:type="spell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ф.и.о.</w:t>
            </w:r>
            <w:proofErr w:type="spellEnd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 xml:space="preserve"> (при наличии)</w:t>
            </w:r>
            <w:proofErr w:type="gramEnd"/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МП (при наличии)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МП (при наличии)</w:t>
            </w:r>
          </w:p>
        </w:tc>
      </w:tr>
    </w:tbl>
    <w:p w:rsidR="004B3CE1" w:rsidRPr="005C177D" w:rsidRDefault="004B3CE1" w:rsidP="00652B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4B3CE1" w:rsidRPr="005C177D" w:rsidSect="00F000D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B83"/>
    <w:rsid w:val="00030853"/>
    <w:rsid w:val="000324AA"/>
    <w:rsid w:val="000C488F"/>
    <w:rsid w:val="000D3DD4"/>
    <w:rsid w:val="000F50FD"/>
    <w:rsid w:val="00136357"/>
    <w:rsid w:val="001462F8"/>
    <w:rsid w:val="00190F80"/>
    <w:rsid w:val="001C17E1"/>
    <w:rsid w:val="001E2327"/>
    <w:rsid w:val="001E7FC2"/>
    <w:rsid w:val="002547E7"/>
    <w:rsid w:val="002B4B78"/>
    <w:rsid w:val="003345E5"/>
    <w:rsid w:val="00390443"/>
    <w:rsid w:val="003D0C72"/>
    <w:rsid w:val="0041320F"/>
    <w:rsid w:val="00483881"/>
    <w:rsid w:val="004914B5"/>
    <w:rsid w:val="004B0376"/>
    <w:rsid w:val="004B3CE1"/>
    <w:rsid w:val="005017F7"/>
    <w:rsid w:val="00502B3C"/>
    <w:rsid w:val="00537BD8"/>
    <w:rsid w:val="005C177D"/>
    <w:rsid w:val="00632606"/>
    <w:rsid w:val="00652B83"/>
    <w:rsid w:val="006F0F23"/>
    <w:rsid w:val="00703AC7"/>
    <w:rsid w:val="007361E6"/>
    <w:rsid w:val="00753F67"/>
    <w:rsid w:val="007B25B0"/>
    <w:rsid w:val="007C0F4D"/>
    <w:rsid w:val="008C23F7"/>
    <w:rsid w:val="009C5464"/>
    <w:rsid w:val="00A02D06"/>
    <w:rsid w:val="00A25B97"/>
    <w:rsid w:val="00B84E5E"/>
    <w:rsid w:val="00CC2CC1"/>
    <w:rsid w:val="00CC2F00"/>
    <w:rsid w:val="00D87E24"/>
    <w:rsid w:val="00E85D89"/>
    <w:rsid w:val="00ED5F0F"/>
    <w:rsid w:val="00EE6CB8"/>
    <w:rsid w:val="00F000D2"/>
    <w:rsid w:val="00F47248"/>
    <w:rsid w:val="00F5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52B83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52B83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652B83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52B83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52B83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9"/>
    <w:qFormat/>
    <w:rsid w:val="00652B83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6">
    <w:name w:val="heading 6"/>
    <w:basedOn w:val="a"/>
    <w:next w:val="a"/>
    <w:link w:val="60"/>
    <w:uiPriority w:val="99"/>
    <w:qFormat/>
    <w:rsid w:val="00652B83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9"/>
    <w:qFormat/>
    <w:rsid w:val="00652B83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9"/>
    <w:qFormat/>
    <w:rsid w:val="00652B83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9"/>
    <w:qFormat/>
    <w:rsid w:val="00652B83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2B83"/>
    <w:rPr>
      <w:rFonts w:ascii="Calibri Light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link w:val="2"/>
    <w:uiPriority w:val="99"/>
    <w:semiHidden/>
    <w:locked/>
    <w:rsid w:val="00652B83"/>
    <w:rPr>
      <w:rFonts w:ascii="Calibri Light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652B83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652B83"/>
    <w:rPr>
      <w:rFonts w:eastAsia="Times New Roman" w:cs="Times New Roman"/>
      <w:i/>
      <w:iCs/>
      <w:color w:val="2F5496"/>
    </w:rPr>
  </w:style>
  <w:style w:type="character" w:customStyle="1" w:styleId="50">
    <w:name w:val="Заголовок 5 Знак"/>
    <w:link w:val="5"/>
    <w:uiPriority w:val="99"/>
    <w:semiHidden/>
    <w:locked/>
    <w:rsid w:val="00652B83"/>
    <w:rPr>
      <w:rFonts w:eastAsia="Times New Roman" w:cs="Times New Roman"/>
      <w:color w:val="2F5496"/>
    </w:rPr>
  </w:style>
  <w:style w:type="character" w:customStyle="1" w:styleId="60">
    <w:name w:val="Заголовок 6 Знак"/>
    <w:link w:val="6"/>
    <w:uiPriority w:val="99"/>
    <w:semiHidden/>
    <w:locked/>
    <w:rsid w:val="00652B83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link w:val="7"/>
    <w:uiPriority w:val="99"/>
    <w:semiHidden/>
    <w:locked/>
    <w:rsid w:val="00652B83"/>
    <w:rPr>
      <w:rFonts w:eastAsia="Times New Roman" w:cs="Times New Roman"/>
      <w:color w:val="595959"/>
    </w:rPr>
  </w:style>
  <w:style w:type="character" w:customStyle="1" w:styleId="80">
    <w:name w:val="Заголовок 8 Знак"/>
    <w:link w:val="8"/>
    <w:uiPriority w:val="99"/>
    <w:semiHidden/>
    <w:locked/>
    <w:rsid w:val="00652B83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link w:val="9"/>
    <w:uiPriority w:val="99"/>
    <w:semiHidden/>
    <w:locked/>
    <w:rsid w:val="00652B83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652B83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link w:val="a3"/>
    <w:uiPriority w:val="99"/>
    <w:locked/>
    <w:rsid w:val="00652B83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99"/>
    <w:qFormat/>
    <w:rsid w:val="00652B83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652B83"/>
    <w:rPr>
      <w:rFonts w:eastAsia="Times New Roman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99"/>
    <w:qFormat/>
    <w:rsid w:val="00652B83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99"/>
    <w:locked/>
    <w:rsid w:val="00652B83"/>
    <w:rPr>
      <w:rFonts w:cs="Times New Roman"/>
      <w:i/>
      <w:iCs/>
      <w:color w:val="404040"/>
    </w:rPr>
  </w:style>
  <w:style w:type="paragraph" w:styleId="a7">
    <w:name w:val="List Paragraph"/>
    <w:basedOn w:val="a"/>
    <w:uiPriority w:val="99"/>
    <w:qFormat/>
    <w:rsid w:val="00652B83"/>
    <w:pPr>
      <w:ind w:left="720"/>
      <w:contextualSpacing/>
    </w:pPr>
  </w:style>
  <w:style w:type="character" w:styleId="a8">
    <w:name w:val="Intense Emphasis"/>
    <w:uiPriority w:val="99"/>
    <w:qFormat/>
    <w:rsid w:val="00652B83"/>
    <w:rPr>
      <w:rFonts w:cs="Times New Roman"/>
      <w:i/>
      <w:iCs/>
      <w:color w:val="2F5496"/>
    </w:rPr>
  </w:style>
  <w:style w:type="paragraph" w:styleId="a9">
    <w:name w:val="Intense Quote"/>
    <w:basedOn w:val="a"/>
    <w:next w:val="a"/>
    <w:link w:val="aa"/>
    <w:uiPriority w:val="99"/>
    <w:qFormat/>
    <w:rsid w:val="00652B8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a">
    <w:name w:val="Выделенная цитата Знак"/>
    <w:link w:val="a9"/>
    <w:uiPriority w:val="99"/>
    <w:locked/>
    <w:rsid w:val="00652B83"/>
    <w:rPr>
      <w:rFonts w:cs="Times New Roman"/>
      <w:i/>
      <w:iCs/>
      <w:color w:val="2F5496"/>
    </w:rPr>
  </w:style>
  <w:style w:type="character" w:styleId="ab">
    <w:name w:val="Intense Reference"/>
    <w:uiPriority w:val="99"/>
    <w:qFormat/>
    <w:rsid w:val="00652B83"/>
    <w:rPr>
      <w:rFonts w:cs="Times New Roman"/>
      <w:b/>
      <w:bCs/>
      <w:smallCaps/>
      <w:color w:val="2F5496"/>
      <w:spacing w:val="5"/>
    </w:rPr>
  </w:style>
  <w:style w:type="character" w:styleId="ac">
    <w:name w:val="Hyperlink"/>
    <w:uiPriority w:val="99"/>
    <w:rsid w:val="00652B83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652B83"/>
    <w:rPr>
      <w:rFonts w:cs="Times New Roman"/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locked/>
    <w:rsid w:val="005C1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C177D"/>
    <w:rPr>
      <w:rFonts w:ascii="Tahoma" w:hAnsi="Tahoma" w:cs="Tahoma"/>
      <w:kern w:val="2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Шигина Наталья Анатольевна</dc:creator>
  <cp:keywords/>
  <dc:description/>
  <cp:lastModifiedBy>Дианова Ирина Евгеньевна</cp:lastModifiedBy>
  <cp:revision>11</cp:revision>
  <cp:lastPrinted>2025-11-12T07:55:00Z</cp:lastPrinted>
  <dcterms:created xsi:type="dcterms:W3CDTF">2025-09-16T08:41:00Z</dcterms:created>
  <dcterms:modified xsi:type="dcterms:W3CDTF">2025-11-12T07:56:00Z</dcterms:modified>
</cp:coreProperties>
</file>